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4258945</wp:posOffset>
            </wp:positionH>
            <wp:positionV relativeFrom="paragraph">
              <wp:posOffset>45720</wp:posOffset>
            </wp:positionV>
            <wp:extent cx="2473325" cy="2847340"/>
            <wp:effectExtent l="0" t="0" r="3175" b="10160"/>
            <wp:wrapSquare wrapText="bothSides"/>
            <wp:docPr id="2" name="图片 2" descr="C:\Users\Administrator\Desktop\微信图片_20200716083857.png微信图片_2020071608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00716083857.png微信图片_20200716083857"/>
                    <pic:cNvPicPr>
                      <a:picLocks noChangeAspect="1"/>
                    </pic:cNvPicPr>
                  </pic:nvPicPr>
                  <pic:blipFill>
                    <a:blip r:embed="rId6"/>
                    <a:srcRect/>
                    <a:stretch>
                      <a:fillRect/>
                    </a:stretch>
                  </pic:blipFill>
                  <pic:spPr>
                    <a:xfrm>
                      <a:off x="0" y="0"/>
                      <a:ext cx="2473325" cy="2847340"/>
                    </a:xfrm>
                    <a:prstGeom prst="rect">
                      <a:avLst/>
                    </a:prstGeom>
                  </pic:spPr>
                </pic:pic>
              </a:graphicData>
            </a:graphic>
          </wp:anchor>
        </w:drawing>
      </w:r>
      <w:r>
        <w:rPr>
          <w:rFonts w:hint="eastAsia" w:ascii="微软雅黑" w:hAnsi="微软雅黑" w:eastAsia="微软雅黑" w:cs="微软雅黑"/>
          <w:color w:val="000000" w:themeColor="text1"/>
          <w:sz w:val="24"/>
          <w:szCs w:val="24"/>
          <w14:textFill>
            <w14:solidFill>
              <w14:schemeClr w14:val="tx1"/>
            </w14:solidFill>
          </w14:textFill>
        </w:rPr>
        <w:t>HD-</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E809</w:t>
      </w:r>
      <w:r>
        <w:rPr>
          <w:rFonts w:hint="eastAsia" w:ascii="微软雅黑" w:hAnsi="微软雅黑" w:eastAsia="微软雅黑" w:cs="微软雅黑"/>
          <w:color w:val="000000" w:themeColor="text1"/>
          <w:sz w:val="24"/>
          <w:szCs w:val="24"/>
          <w14:textFill>
            <w14:solidFill>
              <w14:schemeClr w14:val="tx1"/>
            </w14:solidFill>
          </w14:textFill>
        </w:rPr>
        <w:t xml:space="preserve">  湿度三综合振动试验箱（恒温箱）</w:t>
      </w:r>
    </w:p>
    <w:p>
      <w:pPr>
        <w:pStyle w:val="8"/>
        <w:spacing w:after="0" w:line="500" w:lineRule="exact"/>
        <w:ind w:left="0" w:leftChars="0" w:right="31" w:rightChars="15" w:firstLine="480" w:firstLineChars="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该系列产品适用于航空航天产品、信息电子仪器仪表、材料、电工、电子产品、各种电子元气件在温度、湿度综合环境条件下检验其各性能项指标综合环境可靠性试验、可靠性增长试验、可靠性鉴定试验（RQC）、产品可靠性验收（PRAT）、例行试验、应力筛选试验（ESS）等。适用于对新能源汽车零部件产品进行高温、低温、高低温循环试验，以及恒定湿热和交变湿热试验，可以实现温度－湿度因素的综合试验。</w:t>
      </w:r>
    </w:p>
    <w:p>
      <w:pPr>
        <w:pStyle w:val="7"/>
        <w:adjustRightInd w:val="0"/>
        <w:snapToGrid w:val="0"/>
        <w:spacing w:before="0" w:beforeAutospacing="0" w:after="0" w:afterAutospacing="0" w:line="360" w:lineRule="auto"/>
        <w:jc w:val="both"/>
        <w:rPr>
          <w:rFonts w:hint="eastAsia" w:ascii="微软雅黑" w:hAnsi="微软雅黑" w:eastAsia="微软雅黑" w:cs="微软雅黑"/>
          <w:color w:val="000000" w:themeColor="text1"/>
          <w:sz w:val="24"/>
          <w:szCs w:val="24"/>
          <w14:textFill>
            <w14:solidFill>
              <w14:schemeClr w14:val="tx1"/>
            </w14:solidFill>
          </w14:textFill>
        </w:rPr>
      </w:pPr>
    </w:p>
    <w:p>
      <w:pPr>
        <w:pStyle w:val="7"/>
        <w:adjustRightInd w:val="0"/>
        <w:snapToGrid w:val="0"/>
        <w:spacing w:before="0" w:beforeAutospacing="0" w:after="0" w:afterAutospacing="0" w:line="360" w:lineRule="auto"/>
        <w:jc w:val="both"/>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产品特点：</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00" w:lineRule="exact"/>
        <w:ind w:left="420" w:leftChars="0" w:hanging="420" w:firstLineChars="0"/>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通过升降机构实现设备的上下移动</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00" w:lineRule="exact"/>
        <w:ind w:left="420" w:leftChars="0" w:hanging="420" w:firstLineChars="0"/>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箱体底座与振动台面连接处的密封，试验箱与振动台台面的接口连接处采用耐高低温的有机复合材料加工成方型波纹管状</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00" w:lineRule="exact"/>
        <w:ind w:left="420" w:leftChars="0" w:hanging="420" w:firstLineChars="0"/>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设备配置密封板，快速连接</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00" w:lineRule="exact"/>
        <w:ind w:left="420" w:leftChars="0" w:hanging="420" w:firstLineChars="0"/>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具有高强度、高柔软性、高密封性、高绝热性，并能长期耐高低温、潮湿的密封体，采用双层密封，密封效果良好</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00" w:lineRule="exact"/>
        <w:ind w:left="420" w:leftChars="0" w:hanging="420" w:firstLineChars="0"/>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试验箱与振动台连接时，试验箱自动水平移动到振动台连接位置，然后按所需高度升降到接口连接位置，即可与试验箱进行温湿度振动试验</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00" w:lineRule="exact"/>
        <w:ind w:leftChars="0"/>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p>
    <w:p>
      <w:pPr>
        <w:pStyle w:val="7"/>
        <w:adjustRightInd w:val="0"/>
        <w:snapToGrid w:val="0"/>
        <w:spacing w:before="0" w:beforeAutospacing="0" w:after="0" w:afterAutospacing="0" w:line="360" w:lineRule="auto"/>
        <w:jc w:val="both"/>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符合标准：</w:t>
      </w:r>
      <w:r>
        <w:rPr>
          <w:rFonts w:hint="eastAsia" w:ascii="微软雅黑" w:hAnsi="微软雅黑" w:eastAsia="微软雅黑" w:cs="微软雅黑"/>
          <w:color w:val="000000" w:themeColor="text1"/>
          <w:sz w:val="24"/>
          <w:szCs w:val="24"/>
          <w14:textFill>
            <w14:solidFill>
              <w14:schemeClr w14:val="tx1"/>
            </w14:solidFill>
          </w14:textFill>
        </w:rPr>
        <w:t>GB/T 2423.1-2008</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GB/T 2423.2-2008</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GB/T 2423.10-2008</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GB/T 2423.22-2002</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GB/T 2423.10-2008</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QC/T 413-2002</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both"/>
        <w:textAlignment w:val="auto"/>
        <w:rPr>
          <w:rFonts w:hint="eastAsia" w:ascii="微软雅黑" w:hAnsi="微软雅黑" w:eastAsia="微软雅黑" w:cs="微软雅黑"/>
          <w:color w:val="000000" w:themeColor="text1"/>
          <w:sz w:val="24"/>
          <w:szCs w:val="24"/>
          <w14:textFill>
            <w14:solidFill>
              <w14:schemeClr w14:val="tx1"/>
            </w14:solidFill>
          </w14:textFill>
        </w:rPr>
      </w:pPr>
    </w:p>
    <w:p>
      <w:pPr>
        <w:pStyle w:val="7"/>
        <w:adjustRightInd w:val="0"/>
        <w:snapToGrid w:val="0"/>
        <w:spacing w:before="0" w:beforeAutospacing="0" w:after="0" w:afterAutospacing="0" w:line="360" w:lineRule="auto"/>
        <w:jc w:val="both"/>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val="0"/>
          <w:bCs/>
          <w:color w:val="000000" w:themeColor="text1"/>
          <w:sz w:val="24"/>
          <w:szCs w:val="24"/>
          <w:lang w:eastAsia="zh-CN"/>
          <w14:textFill>
            <w14:solidFill>
              <w14:schemeClr w14:val="tx1"/>
            </w14:solidFill>
          </w14:textFill>
        </w:rPr>
        <w:t>产品主要</w:t>
      </w:r>
      <w:r>
        <w:rPr>
          <w:rFonts w:hint="eastAsia" w:ascii="微软雅黑" w:hAnsi="微软雅黑" w:eastAsia="微软雅黑" w:cs="微软雅黑"/>
          <w:b w:val="0"/>
          <w:bCs/>
          <w:color w:val="000000" w:themeColor="text1"/>
          <w:sz w:val="24"/>
          <w:szCs w:val="24"/>
          <w14:textFill>
            <w14:solidFill>
              <w14:schemeClr w14:val="tx1"/>
            </w14:solidFill>
          </w14:textFill>
        </w:rPr>
        <w:t>参数</w:t>
      </w:r>
      <w:r>
        <w:rPr>
          <w:rFonts w:hint="eastAsia" w:ascii="微软雅黑" w:hAnsi="微软雅黑" w:eastAsia="微软雅黑" w:cs="微软雅黑"/>
          <w:b/>
          <w:color w:val="000000" w:themeColor="text1"/>
          <w:sz w:val="24"/>
          <w:szCs w:val="24"/>
          <w14:textFill>
            <w14:solidFill>
              <w14:schemeClr w14:val="tx1"/>
            </w14:solidFill>
          </w14:textFill>
        </w:rPr>
        <w:t xml:space="preserve">： </w:t>
      </w:r>
    </w:p>
    <w:tbl>
      <w:tblPr>
        <w:tblStyle w:val="10"/>
        <w:tblW w:w="4898"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t>项目</w:t>
            </w:r>
          </w:p>
        </w:tc>
        <w:tc>
          <w:tcPr>
            <w:tcW w:w="4091"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t>产品性能</w:t>
            </w:r>
          </w:p>
        </w:tc>
        <w:tc>
          <w:tcPr>
            <w:tcW w:w="4091" w:type="pct"/>
            <w:vAlign w:val="center"/>
          </w:tcPr>
          <w:p>
            <w:pPr>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能够用于对新能源汽车零部件产品进行高温、低温、高低温循环试验，以及恒定湿热和交变湿热试验，同时能够与振动台的无缝连接，可以实现温度－湿度－振动三因素的综合试验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位置调整</w:t>
            </w:r>
          </w:p>
        </w:tc>
        <w:tc>
          <w:tcPr>
            <w:tcW w:w="4091" w:type="pct"/>
            <w:vAlign w:val="center"/>
          </w:tcPr>
          <w:p>
            <w:pPr>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环境舱具有移动导轨，支持上下、左右移动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控制系统满足</w:t>
            </w:r>
          </w:p>
        </w:tc>
        <w:tc>
          <w:tcPr>
            <w:tcW w:w="4091" w:type="pct"/>
            <w:vAlign w:val="center"/>
          </w:tcPr>
          <w:p>
            <w:pPr>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提供通信接口，能够通过以太网连接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widowControl/>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实时性</w:t>
            </w:r>
          </w:p>
        </w:tc>
        <w:tc>
          <w:tcPr>
            <w:tcW w:w="4091" w:type="pct"/>
            <w:vAlign w:val="center"/>
          </w:tcPr>
          <w:p>
            <w:pPr>
              <w:jc w:val="center"/>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环境舱数据传输时间不大于100ms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数据存储</w:t>
            </w:r>
          </w:p>
        </w:tc>
        <w:tc>
          <w:tcPr>
            <w:tcW w:w="4091" w:type="pct"/>
            <w:vAlign w:val="center"/>
          </w:tcPr>
          <w:p>
            <w:pPr>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具备数据存储与回放功能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保护功能</w:t>
            </w:r>
          </w:p>
        </w:tc>
        <w:tc>
          <w:tcPr>
            <w:tcW w:w="4091" w:type="pct"/>
            <w:vAlign w:val="center"/>
          </w:tcPr>
          <w:p>
            <w:pPr>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环境舱具有自诊断和自保护功能，能够在发生故障时自动报警和停机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内部尺寸</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800 mm×700 mm×700mm（D×W×H）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可检测样品尺寸</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700mm×500mm×500mm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可检测</w:t>
            </w:r>
            <w:r>
              <w:rPr>
                <w:rFonts w:hint="eastAsia" w:ascii="微软雅黑" w:hAnsi="微软雅黑" w:eastAsia="微软雅黑" w:cs="微软雅黑"/>
                <w:bCs/>
                <w:color w:val="000000" w:themeColor="text1"/>
                <w:kern w:val="0"/>
                <w:sz w:val="24"/>
                <w:szCs w:val="24"/>
                <w14:textFill>
                  <w14:solidFill>
                    <w14:schemeClr w14:val="tx1"/>
                  </w14:solidFill>
                </w14:textFill>
              </w:rPr>
              <w:t>样品重量</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0-50kg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温度范围</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温度均匀度</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温度偏差</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湿度范围</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20%～98%RH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湿度均匀度</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湿度波动度</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湿度偏差</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升温时间</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-40℃～+150℃</w:t>
            </w:r>
            <w:r>
              <w:rPr>
                <w:rFonts w:hint="eastAsia" w:ascii="微软雅黑" w:hAnsi="微软雅黑" w:eastAsia="微软雅黑" w:cs="微软雅黑"/>
                <w:bCs/>
                <w:color w:val="000000" w:themeColor="text1"/>
                <w:kern w:val="0"/>
                <w:sz w:val="24"/>
                <w:szCs w:val="24"/>
                <w14:textFill>
                  <w14:solidFill>
                    <w14:schemeClr w14:val="tx1"/>
                  </w14:solidFill>
                </w14:textFill>
              </w:rPr>
              <w:t>≤30min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widowControl/>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降温时间</w:t>
            </w:r>
          </w:p>
        </w:tc>
        <w:tc>
          <w:tcPr>
            <w:tcW w:w="4091" w:type="pct"/>
            <w:vAlign w:val="center"/>
          </w:tcPr>
          <w:p>
            <w:pPr>
              <w:widowControl/>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20℃到－40℃≤30min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widowControl/>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制冷方式</w:t>
            </w:r>
          </w:p>
        </w:tc>
        <w:tc>
          <w:tcPr>
            <w:tcW w:w="4091" w:type="pct"/>
            <w:vAlign w:val="center"/>
          </w:tcPr>
          <w:p>
            <w:pPr>
              <w:widowControl/>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复叠式双级压缩机制冷方式（水冷）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widowControl/>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观察窗尺寸</w:t>
            </w:r>
          </w:p>
        </w:tc>
        <w:tc>
          <w:tcPr>
            <w:tcW w:w="4091" w:type="pct"/>
            <w:vAlign w:val="center"/>
          </w:tcPr>
          <w:p>
            <w:pPr>
              <w:widowControl/>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300mm*400mm（宽*高）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位置调整</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环境舱具有移动导轨，支持上下、左右移动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控制系统</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vertAlign w:val="baseline"/>
                <w:lang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提供通信接口，以太网连接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保护功能</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具有自诊断和自保护功能，能够在发生故障时自动报警和停机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电源</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AC380V，50±0.5Hz 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功率</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约25kW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8" w:type="pct"/>
            <w:vAlign w:val="center"/>
          </w:tcPr>
          <w:p>
            <w:pPr>
              <w:spacing w:line="360" w:lineRule="exact"/>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重量</w:t>
            </w:r>
          </w:p>
        </w:tc>
        <w:tc>
          <w:tcPr>
            <w:tcW w:w="4091" w:type="pct"/>
            <w:vAlign w:val="center"/>
          </w:tcPr>
          <w:p>
            <w:pPr>
              <w:spacing w:line="360" w:lineRule="exact"/>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约700kg(不含振动台）</w:t>
            </w:r>
          </w:p>
        </w:tc>
      </w:tr>
    </w:tbl>
    <w:p>
      <w:pPr>
        <w:pStyle w:val="7"/>
        <w:adjustRightInd w:val="0"/>
        <w:snapToGrid w:val="0"/>
        <w:spacing w:before="0" w:beforeAutospacing="0" w:after="0" w:afterAutospacing="0" w:line="360" w:lineRule="auto"/>
        <w:jc w:val="both"/>
        <w:rPr>
          <w:rFonts w:hint="eastAsia" w:ascii="微软雅黑" w:hAnsi="微软雅黑" w:eastAsia="微软雅黑" w:cs="微软雅黑"/>
          <w:color w:val="000000" w:themeColor="text1"/>
          <w:sz w:val="24"/>
          <w:szCs w:val="24"/>
          <w:lang w:val="en-US" w:eastAsia="zh-CN"/>
          <w14:textFill>
            <w14:solidFill>
              <w14:schemeClr w14:val="tx1"/>
            </w14:solidFill>
          </w14:textFill>
        </w:rPr>
      </w:pPr>
    </w:p>
    <w:p>
      <w:pPr>
        <w:pStyle w:val="7"/>
        <w:keepNext w:val="0"/>
        <w:keepLines w:val="0"/>
        <w:pageBreakBefore w:val="0"/>
        <w:kinsoku/>
        <w:wordWrap/>
        <w:overflowPunct/>
        <w:topLinePunct w:val="0"/>
        <w:bidi w:val="0"/>
        <w:adjustRightInd w:val="0"/>
        <w:snapToGrid w:val="0"/>
        <w:spacing w:before="0" w:beforeAutospacing="0" w:after="0" w:afterAutospacing="0" w:line="120" w:lineRule="auto"/>
        <w:jc w:val="both"/>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制冷系统：</w:t>
      </w:r>
    </w:p>
    <w:tbl>
      <w:tblPr>
        <w:tblStyle w:val="10"/>
        <w:tblpPr w:leftFromText="180" w:rightFromText="180" w:vertAnchor="text" w:horzAnchor="page" w:tblpX="865" w:tblpY="423"/>
        <w:tblOverlap w:val="never"/>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0" w:type="dxa"/>
            <w:vAlign w:val="center"/>
          </w:tcPr>
          <w:p>
            <w:pPr>
              <w:keepNext w:val="0"/>
              <w:keepLines w:val="0"/>
              <w:pageBreakBefore w:val="0"/>
              <w:kinsoku/>
              <w:wordWrap/>
              <w:overflowPunct/>
              <w:topLinePunct w:val="0"/>
              <w:bidi w:val="0"/>
              <w:spacing w:line="120"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压缩机组</w:t>
            </w:r>
          </w:p>
        </w:tc>
        <w:tc>
          <w:tcPr>
            <w:tcW w:w="8538" w:type="dxa"/>
            <w:vAlign w:val="center"/>
          </w:tcPr>
          <w:p>
            <w:pPr>
              <w:keepNext w:val="0"/>
              <w:keepLines w:val="0"/>
              <w:pageBreakBefore w:val="0"/>
              <w:kinsoku/>
              <w:wordWrap/>
              <w:overflowPunct/>
              <w:topLinePunct w:val="0"/>
              <w:bidi w:val="0"/>
              <w:spacing w:line="120" w:lineRule="auto"/>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法国泰康全封闭压缩机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0" w:type="dxa"/>
            <w:vAlign w:val="center"/>
          </w:tcPr>
          <w:p>
            <w:pPr>
              <w:keepNext w:val="0"/>
              <w:keepLines w:val="0"/>
              <w:pageBreakBefore w:val="0"/>
              <w:kinsoku/>
              <w:wordWrap/>
              <w:overflowPunct/>
              <w:topLinePunct w:val="0"/>
              <w:bidi w:val="0"/>
              <w:spacing w:line="120"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制冷方式</w:t>
            </w:r>
          </w:p>
        </w:tc>
        <w:tc>
          <w:tcPr>
            <w:tcW w:w="8538" w:type="dxa"/>
            <w:vAlign w:val="center"/>
          </w:tcPr>
          <w:p>
            <w:pPr>
              <w:keepNext w:val="0"/>
              <w:keepLines w:val="0"/>
              <w:pageBreakBefore w:val="0"/>
              <w:kinsoku/>
              <w:wordWrap/>
              <w:overflowPunct/>
              <w:topLinePunct w:val="0"/>
              <w:bidi w:val="0"/>
              <w:spacing w:line="120" w:lineRule="auto"/>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4"/>
                <w:szCs w:val="24"/>
                <w14:textFill>
                  <w14:solidFill>
                    <w14:schemeClr w14:val="tx1"/>
                  </w14:solidFill>
                </w14:textFill>
              </w:rPr>
              <w:t>复叠式双级压缩机制冷方式（水冷）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0" w:type="dxa"/>
            <w:vAlign w:val="center"/>
          </w:tcPr>
          <w:p>
            <w:pPr>
              <w:keepNext w:val="0"/>
              <w:keepLines w:val="0"/>
              <w:pageBreakBefore w:val="0"/>
              <w:kinsoku/>
              <w:wordWrap/>
              <w:overflowPunct/>
              <w:topLinePunct w:val="0"/>
              <w:bidi w:val="0"/>
              <w:spacing w:line="120"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冷热交换装置</w:t>
            </w:r>
          </w:p>
        </w:tc>
        <w:tc>
          <w:tcPr>
            <w:tcW w:w="8538" w:type="dxa"/>
            <w:vAlign w:val="center"/>
          </w:tcPr>
          <w:p>
            <w:pPr>
              <w:keepNext w:val="0"/>
              <w:keepLines w:val="0"/>
              <w:pageBreakBefore w:val="0"/>
              <w:kinsoku/>
              <w:wordWrap/>
              <w:overflowPunct/>
              <w:topLinePunct w:val="0"/>
              <w:bidi w:val="0"/>
              <w:spacing w:line="120" w:lineRule="auto"/>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采用超高效率多片紊流板式换热器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0" w:type="dxa"/>
            <w:vAlign w:val="center"/>
          </w:tcPr>
          <w:p>
            <w:pPr>
              <w:keepNext w:val="0"/>
              <w:keepLines w:val="0"/>
              <w:pageBreakBefore w:val="0"/>
              <w:kinsoku/>
              <w:wordWrap/>
              <w:overflowPunct/>
              <w:topLinePunct w:val="0"/>
              <w:bidi w:val="0"/>
              <w:spacing w:line="120"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能量调节</w:t>
            </w:r>
          </w:p>
        </w:tc>
        <w:tc>
          <w:tcPr>
            <w:tcW w:w="8538" w:type="dxa"/>
            <w:vAlign w:val="center"/>
          </w:tcPr>
          <w:p>
            <w:pPr>
              <w:keepNext w:val="0"/>
              <w:keepLines w:val="0"/>
              <w:pageBreakBefore w:val="0"/>
              <w:kinsoku/>
              <w:wordWrap/>
              <w:overflowPunct/>
              <w:topLinePunct w:val="0"/>
              <w:autoSpaceDE w:val="0"/>
              <w:autoSpaceDN w:val="0"/>
              <w:bidi w:val="0"/>
              <w:adjustRightInd w:val="0"/>
              <w:spacing w:line="120" w:lineRule="auto"/>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由控制系统自动调整制冷量的大小，采用加热和制冷交替控制的方式，可有效地节省能源</w:t>
            </w:r>
            <w:r>
              <w:rPr>
                <w:rFonts w:hint="eastAsia" w:ascii="微软雅黑" w:hAnsi="微软雅黑" w:eastAsia="微软雅黑" w:cs="微软雅黑"/>
                <w:b/>
                <w:color w:val="000000" w:themeColor="text1"/>
                <w:sz w:val="24"/>
                <w:szCs w:val="24"/>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0" w:type="dxa"/>
            <w:vAlign w:val="center"/>
          </w:tcPr>
          <w:p>
            <w:pPr>
              <w:keepNext w:val="0"/>
              <w:keepLines w:val="0"/>
              <w:pageBreakBefore w:val="0"/>
              <w:kinsoku/>
              <w:wordWrap/>
              <w:overflowPunct/>
              <w:topLinePunct w:val="0"/>
              <w:bidi w:val="0"/>
              <w:spacing w:line="120" w:lineRule="auto"/>
              <w:jc w:val="center"/>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高效率元件</w:t>
            </w:r>
          </w:p>
        </w:tc>
        <w:tc>
          <w:tcPr>
            <w:tcW w:w="8538" w:type="dxa"/>
            <w:vAlign w:val="center"/>
          </w:tcPr>
          <w:p>
            <w:pPr>
              <w:keepNext w:val="0"/>
              <w:keepLines w:val="0"/>
              <w:pageBreakBefore w:val="0"/>
              <w:kinsoku/>
              <w:wordWrap/>
              <w:overflowPunct/>
              <w:topLinePunct w:val="0"/>
              <w:bidi w:val="0"/>
              <w:spacing w:line="120" w:lineRule="auto"/>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冷凝器﹑蒸发器采用铝鳍片装置</w:t>
            </w:r>
          </w:p>
        </w:tc>
      </w:tr>
    </w:tbl>
    <w:p>
      <w:pPr>
        <w:pStyle w:val="7"/>
        <w:adjustRightInd w:val="0"/>
        <w:snapToGrid w:val="0"/>
        <w:spacing w:before="0" w:beforeAutospacing="0" w:after="0" w:afterAutospacing="0" w:line="360" w:lineRule="auto"/>
        <w:jc w:val="both"/>
        <w:rPr>
          <w:rFonts w:hint="eastAsia" w:ascii="微软雅黑" w:hAnsi="微软雅黑" w:eastAsia="微软雅黑" w:cs="微软雅黑"/>
          <w:color w:val="000000" w:themeColor="text1"/>
          <w:sz w:val="24"/>
          <w:szCs w:val="24"/>
          <w:lang w:val="en-US" w:eastAsia="zh-CN"/>
          <w14:textFill>
            <w14:solidFill>
              <w14:schemeClr w14:val="tx1"/>
            </w14:solidFill>
          </w14:textFill>
        </w:rPr>
      </w:pPr>
    </w:p>
    <w:tbl>
      <w:tblPr>
        <w:tblStyle w:val="10"/>
        <w:tblpPr w:leftFromText="180" w:rightFromText="180" w:vertAnchor="text" w:horzAnchor="page" w:tblpX="860" w:tblpY="8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t>基本配置</w:t>
            </w:r>
          </w:p>
        </w:tc>
        <w:tc>
          <w:tcPr>
            <w:tcW w:w="8527" w:type="dxa"/>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left"/>
              <w:textAlignment w:val="auto"/>
              <w:rPr>
                <w:rStyle w:val="11"/>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t>合格证*1，说明书*1，保修卡*1，电源线*1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t>选购</w:t>
            </w:r>
          </w:p>
        </w:tc>
        <w:tc>
          <w:tcPr>
            <w:tcW w:w="8527" w:type="dxa"/>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885" w:type="dxa"/>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t>备注</w:t>
            </w:r>
          </w:p>
        </w:tc>
        <w:tc>
          <w:tcPr>
            <w:tcW w:w="8527" w:type="dxa"/>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jc w:val="left"/>
              <w:textAlignment w:val="auto"/>
              <w:rPr>
                <w:rFonts w:hint="default"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vertAlign w:val="baseline"/>
                <w:lang w:val="en-US" w:eastAsia="zh-CN"/>
                <w14:textFill>
                  <w14:solidFill>
                    <w14:schemeClr w14:val="tx1"/>
                  </w14:solidFill>
                </w14:textFill>
              </w:rPr>
              <w:t>**</w:t>
            </w:r>
          </w:p>
        </w:tc>
      </w:tr>
    </w:tbl>
    <w:p>
      <w:pPr>
        <w:spacing w:line="360" w:lineRule="auto"/>
        <w:jc w:val="left"/>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产品</w:t>
      </w:r>
      <w:bookmarkStart w:id="0" w:name="_GoBack"/>
      <w:bookmarkEnd w:id="0"/>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配置：</w:t>
      </w:r>
    </w:p>
    <w:p>
      <w:pPr>
        <w:spacing w:line="360" w:lineRule="auto"/>
        <w:jc w:val="left"/>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eastAsia="zh-CN"/>
          <w14:textFill>
            <w14:solidFill>
              <w14:schemeClr w14:val="tx1"/>
            </w14:solidFill>
          </w14:textFill>
        </w:rPr>
        <w:t>注：海达始终致力于产品性能和功能的创新及改进，基于该原因，产品技术规格、外观亦会相应改变，上述情况恕不另行通知。本公司保留修改权与最终解释权。</w:t>
      </w:r>
    </w:p>
    <w:p>
      <w:pPr>
        <w:spacing w:line="360" w:lineRule="auto"/>
        <w:jc w:val="left"/>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sectPr>
      <w:headerReference r:id="rId3" w:type="default"/>
      <w:footerReference r:id="rId4" w:type="default"/>
      <w:pgSz w:w="11906" w:h="16838"/>
      <w:pgMar w:top="720" w:right="720" w:bottom="720" w:left="720" w:header="340"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5758815" cy="445770"/>
          <wp:effectExtent l="0" t="0" r="13335" b="11430"/>
          <wp:docPr id="3" name="图片 3" descr="页眉-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05"/>
                  <pic:cNvPicPr>
                    <a:picLocks noChangeAspect="1"/>
                  </pic:cNvPicPr>
                </pic:nvPicPr>
                <pic:blipFill>
                  <a:blip r:embed="rId1"/>
                  <a:stretch>
                    <a:fillRect/>
                  </a:stretch>
                </pic:blipFill>
                <pic:spPr>
                  <a:xfrm>
                    <a:off x="0" y="0"/>
                    <a:ext cx="5758815" cy="4457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rPr>
        <w:rFonts w:hint="eastAsia" w:eastAsiaTheme="minorEastAsia"/>
        <w:lang w:eastAsia="zh-CN"/>
      </w:rPr>
    </w:pPr>
  </w:p>
  <w:p>
    <w:pPr>
      <w:pStyle w:val="6"/>
      <w:pBdr>
        <w:bottom w:val="single" w:color="auto" w:sz="4" w:space="1"/>
      </w:pBdr>
      <w:jc w:val="center"/>
      <w:rPr>
        <w:rFonts w:hint="eastAsia" w:eastAsiaTheme="minorEastAsia"/>
        <w:lang w:eastAsia="zh-CN"/>
      </w:rPr>
    </w:pPr>
  </w:p>
  <w:p>
    <w:pPr>
      <w:pStyle w:val="6"/>
      <w:pBdr>
        <w:bottom w:val="single" w:color="auto" w:sz="4" w:space="1"/>
      </w:pBdr>
      <w:jc w:val="center"/>
      <w:rPr>
        <w:rFonts w:hint="default" w:eastAsiaTheme="minorEastAsia"/>
        <w:lang w:val="en-US" w:eastAsia="zh-CN"/>
      </w:rPr>
    </w:pPr>
    <w:r>
      <w:rPr>
        <w:rFonts w:hint="eastAsia" w:eastAsiaTheme="minorEastAsia"/>
        <w:lang w:eastAsia="zh-CN"/>
      </w:rPr>
      <w:drawing>
        <wp:inline distT="0" distB="0" distL="114300" distR="114300">
          <wp:extent cx="6637655" cy="655320"/>
          <wp:effectExtent l="0" t="0" r="10795" b="11430"/>
          <wp:docPr id="4" name="图片 4" descr="页眉-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06"/>
                  <pic:cNvPicPr>
                    <a:picLocks noChangeAspect="1"/>
                  </pic:cNvPicPr>
                </pic:nvPicPr>
                <pic:blipFill>
                  <a:blip r:embed="rId1"/>
                  <a:stretch>
                    <a:fillRect/>
                  </a:stretch>
                </pic:blipFill>
                <pic:spPr>
                  <a:xfrm>
                    <a:off x="0" y="0"/>
                    <a:ext cx="6637655" cy="655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7E70"/>
    <w:multiLevelType w:val="singleLevel"/>
    <w:tmpl w:val="11FA7E7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60"/>
    <w:rsid w:val="000C3AAF"/>
    <w:rsid w:val="00123051"/>
    <w:rsid w:val="001471C6"/>
    <w:rsid w:val="00157844"/>
    <w:rsid w:val="001A4B1B"/>
    <w:rsid w:val="001B6AC6"/>
    <w:rsid w:val="001C7D24"/>
    <w:rsid w:val="0020326A"/>
    <w:rsid w:val="00560D99"/>
    <w:rsid w:val="0061091E"/>
    <w:rsid w:val="00656EA5"/>
    <w:rsid w:val="006643AC"/>
    <w:rsid w:val="006B6298"/>
    <w:rsid w:val="007649B7"/>
    <w:rsid w:val="007F6F4C"/>
    <w:rsid w:val="00817390"/>
    <w:rsid w:val="00837DAF"/>
    <w:rsid w:val="00893859"/>
    <w:rsid w:val="008E0218"/>
    <w:rsid w:val="008E6B32"/>
    <w:rsid w:val="00991E58"/>
    <w:rsid w:val="00A213BD"/>
    <w:rsid w:val="00C47960"/>
    <w:rsid w:val="00E401B9"/>
    <w:rsid w:val="00E93360"/>
    <w:rsid w:val="00FA65D8"/>
    <w:rsid w:val="028C654D"/>
    <w:rsid w:val="036723AF"/>
    <w:rsid w:val="037945CE"/>
    <w:rsid w:val="056259BF"/>
    <w:rsid w:val="05883C9D"/>
    <w:rsid w:val="072871B9"/>
    <w:rsid w:val="07F159A4"/>
    <w:rsid w:val="08AD004F"/>
    <w:rsid w:val="091B48EA"/>
    <w:rsid w:val="0B4B672C"/>
    <w:rsid w:val="0C024639"/>
    <w:rsid w:val="0EA64038"/>
    <w:rsid w:val="0F88220C"/>
    <w:rsid w:val="0FC36BF7"/>
    <w:rsid w:val="10BB7ED5"/>
    <w:rsid w:val="14050AD7"/>
    <w:rsid w:val="146852A2"/>
    <w:rsid w:val="16A43312"/>
    <w:rsid w:val="190C7A2F"/>
    <w:rsid w:val="19275D82"/>
    <w:rsid w:val="1C034172"/>
    <w:rsid w:val="1C482FC2"/>
    <w:rsid w:val="205731B6"/>
    <w:rsid w:val="213043B8"/>
    <w:rsid w:val="216E7D14"/>
    <w:rsid w:val="248C49AE"/>
    <w:rsid w:val="26067858"/>
    <w:rsid w:val="26B040E4"/>
    <w:rsid w:val="27C56C8E"/>
    <w:rsid w:val="28784E04"/>
    <w:rsid w:val="28B8073F"/>
    <w:rsid w:val="292F32CB"/>
    <w:rsid w:val="2AFB1537"/>
    <w:rsid w:val="2BFA3DA5"/>
    <w:rsid w:val="2F5B4E25"/>
    <w:rsid w:val="2FB964D0"/>
    <w:rsid w:val="30304D1F"/>
    <w:rsid w:val="31B24233"/>
    <w:rsid w:val="32F10B4B"/>
    <w:rsid w:val="34970BF5"/>
    <w:rsid w:val="37FD1404"/>
    <w:rsid w:val="39612C96"/>
    <w:rsid w:val="3A9C6CF0"/>
    <w:rsid w:val="3C6B3E42"/>
    <w:rsid w:val="3CF33205"/>
    <w:rsid w:val="3D501E32"/>
    <w:rsid w:val="448D202D"/>
    <w:rsid w:val="46922708"/>
    <w:rsid w:val="46B60F39"/>
    <w:rsid w:val="488F5427"/>
    <w:rsid w:val="4A0E7EE0"/>
    <w:rsid w:val="4AF06B28"/>
    <w:rsid w:val="4BBD61FD"/>
    <w:rsid w:val="4FDE49E4"/>
    <w:rsid w:val="503538CB"/>
    <w:rsid w:val="50C20C4A"/>
    <w:rsid w:val="50C94BAB"/>
    <w:rsid w:val="52ED2442"/>
    <w:rsid w:val="53DA2239"/>
    <w:rsid w:val="54C3776F"/>
    <w:rsid w:val="574B7247"/>
    <w:rsid w:val="5765408B"/>
    <w:rsid w:val="57872565"/>
    <w:rsid w:val="58674108"/>
    <w:rsid w:val="58744ACE"/>
    <w:rsid w:val="5A26784A"/>
    <w:rsid w:val="5C097FA1"/>
    <w:rsid w:val="5ED36D82"/>
    <w:rsid w:val="5F6541F8"/>
    <w:rsid w:val="5F7D713A"/>
    <w:rsid w:val="63C14681"/>
    <w:rsid w:val="6429355A"/>
    <w:rsid w:val="66124068"/>
    <w:rsid w:val="67811C3D"/>
    <w:rsid w:val="695218E9"/>
    <w:rsid w:val="6D3521CA"/>
    <w:rsid w:val="6D6D03E4"/>
    <w:rsid w:val="70E306F7"/>
    <w:rsid w:val="72880A08"/>
    <w:rsid w:val="744E26EC"/>
    <w:rsid w:val="74A131EF"/>
    <w:rsid w:val="7537621C"/>
    <w:rsid w:val="75376F15"/>
    <w:rsid w:val="76E51B3D"/>
    <w:rsid w:val="76EC3C82"/>
    <w:rsid w:val="794E07C6"/>
    <w:rsid w:val="7A335F0E"/>
    <w:rsid w:val="7B9A06B1"/>
    <w:rsid w:val="7DAE3ECD"/>
    <w:rsid w:val="7E0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ody Text Indent"/>
    <w:basedOn w:val="1"/>
    <w:qFormat/>
    <w:uiPriority w:val="0"/>
    <w:pPr>
      <w:spacing w:line="480" w:lineRule="exact"/>
      <w:ind w:firstLine="6535" w:firstLineChars="2334"/>
    </w:pPr>
    <w:rPr>
      <w:sz w:val="28"/>
    </w:rPr>
  </w:style>
  <w:style w:type="paragraph" w:styleId="4">
    <w:name w:val="Plain Text"/>
    <w:basedOn w:val="1"/>
    <w:qFormat/>
    <w:uiPriority w:val="0"/>
    <w:rPr>
      <w:rFonts w:ascii="宋体" w:hAnsi="Courier New"/>
    </w:rPr>
  </w:style>
  <w:style w:type="paragraph" w:styleId="5">
    <w:name w:val="footer"/>
    <w:basedOn w:val="1"/>
    <w:link w:val="16"/>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Lines="0" w:beforeAutospacing="1" w:after="100" w:afterLines="0" w:afterAutospacing="1"/>
      <w:jc w:val="left"/>
    </w:pPr>
    <w:rPr>
      <w:rFonts w:ascii="Arial" w:hAnsi="Arial" w:cs="Arial"/>
      <w:kern w:val="0"/>
      <w:sz w:val="18"/>
      <w:szCs w:val="18"/>
    </w:rPr>
  </w:style>
  <w:style w:type="paragraph" w:styleId="8">
    <w:name w:val="Body Text First Indent 2"/>
    <w:basedOn w:val="3"/>
    <w:qFormat/>
    <w:uiPriority w:val="0"/>
    <w:pPr>
      <w:spacing w:after="120" w:line="240" w:lineRule="auto"/>
      <w:ind w:left="420" w:leftChars="200" w:firstLine="420" w:firstLineChars="200"/>
    </w:pPr>
    <w:rPr>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333333"/>
      <w:u w:val="none"/>
    </w:rPr>
  </w:style>
  <w:style w:type="paragraph" w:styleId="15">
    <w:name w:val="List Paragraph"/>
    <w:basedOn w:val="1"/>
    <w:unhideWhenUsed/>
    <w:qFormat/>
    <w:uiPriority w:val="99"/>
    <w:pPr>
      <w:ind w:firstLine="420" w:firstLineChars="200"/>
    </w:pPr>
  </w:style>
  <w:style w:type="character" w:customStyle="1" w:styleId="16">
    <w:name w:val="页脚 Char"/>
    <w:basedOn w:val="11"/>
    <w:link w:val="5"/>
    <w:qFormat/>
    <w:uiPriority w:val="99"/>
    <w:rPr>
      <w:kern w:val="2"/>
      <w:sz w:val="18"/>
      <w:szCs w:val="22"/>
    </w:rPr>
  </w:style>
  <w:style w:type="character" w:customStyle="1" w:styleId="17">
    <w:name w:val="s-91"/>
    <w:basedOn w:val="11"/>
    <w:qFormat/>
    <w:uiPriority w:val="0"/>
    <w:rPr>
      <w:rFonts w:hint="default" w:ascii="Tahoma" w:hAnsi="Tahoma" w:cs="Tahoma"/>
      <w:color w:val="333333"/>
      <w:sz w:val="18"/>
      <w:szCs w:val="18"/>
      <w:u w:val="none"/>
    </w:rPr>
  </w:style>
  <w:style w:type="character" w:customStyle="1" w:styleId="18">
    <w:name w:val="wx-21"/>
    <w:basedOn w:val="11"/>
    <w:qFormat/>
    <w:uiPriority w:val="0"/>
    <w:rPr>
      <w:color w:val="00666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12</Pages>
  <Words>3621</Words>
  <Characters>4686</Characters>
  <Lines>1</Lines>
  <Paragraphs>1</Paragraphs>
  <TotalTime>2</TotalTime>
  <ScaleCrop>false</ScaleCrop>
  <LinksUpToDate>false</LinksUpToDate>
  <CharactersWithSpaces>5573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2016-08-03T07:42:00Z</dcterms:created>
  <dc:creator>SkyUN.Org</dc:creator>
  <cp:lastModifiedBy>愿望成真</cp:lastModifiedBy>
  <cp:lastPrinted>2019-10-14T10:02:00Z</cp:lastPrinted>
  <dcterms:modified xsi:type="dcterms:W3CDTF">2020-07-27T00:23:07Z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